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8A4F6D">
        <w:rPr>
          <w:b/>
        </w:rPr>
        <w:t>hválené rozpočtové opatření č. 6</w:t>
      </w:r>
      <w:r>
        <w:rPr>
          <w:b/>
        </w:rPr>
        <w:t xml:space="preserve"> Mikroregionu Němčicko na rok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elektronické podobě lze nahlédnout na webových stránkách MRG Němčicko:</w:t>
      </w:r>
    </w:p>
    <w:p w:rsidR="003E69FA" w:rsidRDefault="008A4F6D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   </w:t>
      </w:r>
      <w:r w:rsidR="008A4F6D">
        <w:t>4. 10</w:t>
      </w:r>
      <w:r>
        <w:t>.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bookmarkStart w:id="0" w:name="_GoBack"/>
      <w:bookmarkEnd w:id="0"/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3E69FA"/>
    <w:rsid w:val="00786F35"/>
    <w:rsid w:val="008A4F6D"/>
    <w:rsid w:val="00B93076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dcterms:created xsi:type="dcterms:W3CDTF">2017-10-04T10:37:00Z</dcterms:created>
  <dcterms:modified xsi:type="dcterms:W3CDTF">2017-10-04T10:37:00Z</dcterms:modified>
</cp:coreProperties>
</file>